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9EC01" w14:textId="77777777" w:rsidR="00C00564" w:rsidRDefault="00B34000" w:rsidP="00C00564">
      <w:pPr>
        <w:adjustRightInd w:val="0"/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デジタル</w:t>
      </w:r>
      <w:r w:rsidR="008B7A2B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訓練促進費</w:t>
      </w:r>
      <w:r w:rsidR="007352D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（</w:t>
      </w:r>
      <w:r w:rsidR="007352DD" w:rsidRPr="007352D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ＤＸ推進スキル標準対応コース</w:t>
      </w:r>
      <w:r w:rsidR="00C0056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）</w:t>
      </w:r>
    </w:p>
    <w:p w14:paraId="4B1FC7F7" w14:textId="77777777" w:rsidR="00667BF4" w:rsidRPr="00667BF4" w:rsidRDefault="003B1B21" w:rsidP="00C00564">
      <w:pPr>
        <w:adjustRightInd w:val="0"/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880D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の</w:t>
      </w:r>
      <w:r w:rsidR="00880D0E" w:rsidRPr="00880D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対象</w:t>
      </w:r>
      <w:r w:rsidR="008E1CDA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と</w:t>
      </w:r>
      <w:r w:rsidR="00880D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なる事業</w:t>
      </w:r>
      <w:r w:rsidR="008E1CDA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の</w:t>
      </w:r>
      <w:r w:rsidR="00880D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概要</w:t>
      </w:r>
      <w:r w:rsidR="00697767" w:rsidRPr="00880D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について</w:t>
      </w:r>
    </w:p>
    <w:p w14:paraId="1D473443" w14:textId="77777777" w:rsidR="00322758" w:rsidRPr="00F85C26" w:rsidRDefault="00322758" w:rsidP="00322758">
      <w:pPr>
        <w:jc w:val="right"/>
        <w:rPr>
          <w:color w:val="000000" w:themeColor="text1"/>
        </w:rPr>
      </w:pPr>
    </w:p>
    <w:p w14:paraId="4FACA689" w14:textId="6481C2B4" w:rsidR="00322758" w:rsidRPr="00322758" w:rsidRDefault="00C26B4A" w:rsidP="00322758">
      <w:pPr>
        <w:jc w:val="right"/>
        <w:rPr>
          <w:color w:val="000000" w:themeColor="text1"/>
        </w:rPr>
      </w:pPr>
      <w:r w:rsidRPr="00334BF8">
        <w:rPr>
          <w:rFonts w:hint="eastAsia"/>
          <w:color w:val="000000" w:themeColor="text1"/>
          <w:spacing w:val="21"/>
          <w:w w:val="68"/>
          <w:kern w:val="0"/>
          <w:fitText w:val="1768" w:id="-1665976064"/>
        </w:rPr>
        <w:t>令和</w:t>
      </w:r>
      <w:r w:rsidR="00334BF8">
        <w:rPr>
          <w:rFonts w:hint="eastAsia"/>
          <w:color w:val="000000" w:themeColor="text1"/>
          <w:spacing w:val="21"/>
          <w:w w:val="68"/>
          <w:kern w:val="0"/>
          <w:fitText w:val="1768" w:id="-1665976064"/>
        </w:rPr>
        <w:t>６</w:t>
      </w:r>
      <w:r w:rsidR="00F85C26" w:rsidRPr="00334BF8">
        <w:rPr>
          <w:rFonts w:hint="eastAsia"/>
          <w:color w:val="000000" w:themeColor="text1"/>
          <w:spacing w:val="21"/>
          <w:w w:val="68"/>
          <w:kern w:val="0"/>
          <w:fitText w:val="1768" w:id="-1665976064"/>
        </w:rPr>
        <w:t>年</w:t>
      </w:r>
      <w:r w:rsidR="00EE66E6" w:rsidRPr="00334BF8">
        <w:rPr>
          <w:rFonts w:hint="eastAsia"/>
          <w:color w:val="000000" w:themeColor="text1"/>
          <w:spacing w:val="21"/>
          <w:w w:val="68"/>
          <w:kern w:val="0"/>
          <w:fitText w:val="1768" w:id="-1665976064"/>
        </w:rPr>
        <w:t xml:space="preserve"> </w:t>
      </w:r>
      <w:r w:rsidR="0040468E" w:rsidRPr="00334BF8">
        <w:rPr>
          <w:rFonts w:hint="eastAsia"/>
          <w:color w:val="000000" w:themeColor="text1"/>
          <w:spacing w:val="21"/>
          <w:w w:val="68"/>
          <w:kern w:val="0"/>
          <w:fitText w:val="1768" w:id="-1665976064"/>
        </w:rPr>
        <w:t>1</w:t>
      </w:r>
      <w:r w:rsidR="0040468E" w:rsidRPr="00334BF8">
        <w:rPr>
          <w:color w:val="000000" w:themeColor="text1"/>
          <w:spacing w:val="21"/>
          <w:w w:val="68"/>
          <w:kern w:val="0"/>
          <w:fitText w:val="1768" w:id="-1665976064"/>
        </w:rPr>
        <w:t>1</w:t>
      </w:r>
      <w:r w:rsidR="00F85C26" w:rsidRPr="00334BF8">
        <w:rPr>
          <w:rFonts w:hint="eastAsia"/>
          <w:color w:val="000000" w:themeColor="text1"/>
          <w:spacing w:val="21"/>
          <w:w w:val="68"/>
          <w:kern w:val="0"/>
          <w:fitText w:val="1768" w:id="-1665976064"/>
        </w:rPr>
        <w:t>月</w:t>
      </w:r>
      <w:r w:rsidR="00D5232A" w:rsidRPr="00334BF8">
        <w:rPr>
          <w:rFonts w:hint="eastAsia"/>
          <w:color w:val="000000" w:themeColor="text1"/>
          <w:spacing w:val="21"/>
          <w:w w:val="68"/>
          <w:kern w:val="0"/>
          <w:fitText w:val="1768" w:id="-1665976064"/>
        </w:rPr>
        <w:t>７</w:t>
      </w:r>
      <w:r w:rsidR="00322758" w:rsidRPr="00334BF8">
        <w:rPr>
          <w:rFonts w:hint="eastAsia"/>
          <w:color w:val="000000" w:themeColor="text1"/>
          <w:spacing w:val="-2"/>
          <w:w w:val="68"/>
          <w:kern w:val="0"/>
          <w:fitText w:val="1768" w:id="-1665976064"/>
        </w:rPr>
        <w:t>日</w:t>
      </w:r>
    </w:p>
    <w:p w14:paraId="2D7DB874" w14:textId="77777777" w:rsidR="00322758" w:rsidRPr="00322758" w:rsidRDefault="00322758" w:rsidP="00322758">
      <w:pPr>
        <w:jc w:val="right"/>
        <w:rPr>
          <w:color w:val="000000" w:themeColor="text1"/>
        </w:rPr>
      </w:pPr>
      <w:r w:rsidRPr="00322758">
        <w:rPr>
          <w:rFonts w:hint="eastAsia"/>
          <w:color w:val="000000" w:themeColor="text1"/>
          <w:spacing w:val="71"/>
          <w:kern w:val="0"/>
          <w:fitText w:val="1768" w:id="-1757144830"/>
        </w:rPr>
        <w:t>能力開発</w:t>
      </w:r>
      <w:r w:rsidRPr="00322758">
        <w:rPr>
          <w:rFonts w:hint="eastAsia"/>
          <w:color w:val="000000" w:themeColor="text1"/>
          <w:kern w:val="0"/>
          <w:fitText w:val="1768" w:id="-1757144830"/>
        </w:rPr>
        <w:t>課</w:t>
      </w:r>
    </w:p>
    <w:p w14:paraId="4B19F615" w14:textId="77777777" w:rsidR="00697767" w:rsidRDefault="00697767">
      <w:pPr>
        <w:rPr>
          <w:color w:val="000000" w:themeColor="text1"/>
        </w:rPr>
      </w:pPr>
    </w:p>
    <w:p w14:paraId="3E026975" w14:textId="77777777" w:rsidR="000B7B36" w:rsidRPr="00880D0E" w:rsidRDefault="000B7B36">
      <w:pPr>
        <w:rPr>
          <w:color w:val="000000" w:themeColor="text1"/>
        </w:rPr>
      </w:pPr>
    </w:p>
    <w:p w14:paraId="7D948192" w14:textId="77777777" w:rsidR="00737160" w:rsidRDefault="00B34000" w:rsidP="00C50A30">
      <w:pPr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>デジタル</w:t>
      </w:r>
      <w:r w:rsidR="00192D96">
        <w:rPr>
          <w:rFonts w:hint="eastAsia"/>
          <w:color w:val="000000" w:themeColor="text1"/>
          <w:szCs w:val="24"/>
        </w:rPr>
        <w:t>訓練促進</w:t>
      </w:r>
      <w:r w:rsidR="00322758">
        <w:rPr>
          <w:rFonts w:hint="eastAsia"/>
          <w:color w:val="000000" w:themeColor="text1"/>
          <w:szCs w:val="24"/>
        </w:rPr>
        <w:t>費の対象</w:t>
      </w:r>
      <w:r w:rsidR="008E1CDA">
        <w:rPr>
          <w:rFonts w:hint="eastAsia"/>
          <w:color w:val="000000" w:themeColor="text1"/>
          <w:szCs w:val="24"/>
        </w:rPr>
        <w:t>と</w:t>
      </w:r>
      <w:r w:rsidR="00322758">
        <w:rPr>
          <w:rFonts w:hint="eastAsia"/>
          <w:color w:val="000000" w:themeColor="text1"/>
          <w:szCs w:val="24"/>
        </w:rPr>
        <w:t>なる事業</w:t>
      </w:r>
      <w:r w:rsidR="008E1CDA">
        <w:rPr>
          <w:rFonts w:hint="eastAsia"/>
          <w:color w:val="000000" w:themeColor="text1"/>
          <w:szCs w:val="24"/>
        </w:rPr>
        <w:t>の</w:t>
      </w:r>
      <w:r w:rsidR="00322758">
        <w:rPr>
          <w:rFonts w:hint="eastAsia"/>
          <w:color w:val="000000" w:themeColor="text1"/>
          <w:szCs w:val="24"/>
        </w:rPr>
        <w:t>概要に</w:t>
      </w:r>
      <w:r w:rsidR="00E65F75" w:rsidRPr="00880D0E">
        <w:rPr>
          <w:rFonts w:hint="eastAsia"/>
          <w:color w:val="000000" w:themeColor="text1"/>
          <w:szCs w:val="24"/>
        </w:rPr>
        <w:t>ついて</w:t>
      </w:r>
      <w:r w:rsidR="00647232" w:rsidRPr="00880D0E">
        <w:rPr>
          <w:rFonts w:hint="eastAsia"/>
          <w:color w:val="000000" w:themeColor="text1"/>
          <w:szCs w:val="24"/>
        </w:rPr>
        <w:t>は、</w:t>
      </w:r>
      <w:r w:rsidR="00E65F75" w:rsidRPr="00880D0E">
        <w:rPr>
          <w:rFonts w:hint="eastAsia"/>
          <w:color w:val="000000" w:themeColor="text1"/>
          <w:szCs w:val="24"/>
        </w:rPr>
        <w:t>下記のとおり</w:t>
      </w:r>
      <w:r w:rsidR="00647232" w:rsidRPr="00880D0E">
        <w:rPr>
          <w:rFonts w:hint="eastAsia"/>
          <w:color w:val="000000" w:themeColor="text1"/>
          <w:szCs w:val="24"/>
        </w:rPr>
        <w:t>とします。</w:t>
      </w:r>
    </w:p>
    <w:p w14:paraId="453BB699" w14:textId="77777777" w:rsidR="006C0900" w:rsidRPr="00880D0E" w:rsidRDefault="009E5655" w:rsidP="00F535B4">
      <w:pPr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>※</w:t>
      </w:r>
      <w:r w:rsidR="006C0900">
        <w:rPr>
          <w:rFonts w:hint="eastAsia"/>
          <w:color w:val="000000" w:themeColor="text1"/>
          <w:szCs w:val="24"/>
        </w:rPr>
        <w:t>支払要件</w:t>
      </w:r>
      <w:r>
        <w:rPr>
          <w:rFonts w:hint="eastAsia"/>
          <w:color w:val="000000" w:themeColor="text1"/>
          <w:szCs w:val="24"/>
        </w:rPr>
        <w:t>の詳細</w:t>
      </w:r>
      <w:r w:rsidR="006C0900">
        <w:rPr>
          <w:rFonts w:hint="eastAsia"/>
          <w:color w:val="000000" w:themeColor="text1"/>
          <w:szCs w:val="24"/>
        </w:rPr>
        <w:t>及び留意点</w:t>
      </w:r>
      <w:r>
        <w:rPr>
          <w:rFonts w:hint="eastAsia"/>
          <w:color w:val="000000" w:themeColor="text1"/>
          <w:szCs w:val="24"/>
        </w:rPr>
        <w:t>等</w:t>
      </w:r>
      <w:r w:rsidR="006C0900">
        <w:rPr>
          <w:rFonts w:hint="eastAsia"/>
          <w:color w:val="000000" w:themeColor="text1"/>
          <w:szCs w:val="24"/>
        </w:rPr>
        <w:t>は別紙を参照。</w:t>
      </w:r>
    </w:p>
    <w:tbl>
      <w:tblPr>
        <w:tblStyle w:val="a5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880D0E" w:rsidRPr="00880D0E" w14:paraId="2FF0D805" w14:textId="77777777" w:rsidTr="00697767">
        <w:tc>
          <w:tcPr>
            <w:tcW w:w="1980" w:type="dxa"/>
          </w:tcPr>
          <w:p w14:paraId="1ED8EF77" w14:textId="77777777" w:rsidR="00697767" w:rsidRPr="00880D0E" w:rsidRDefault="00B77EA5" w:rsidP="00B77EA5">
            <w:pPr>
              <w:jc w:val="center"/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>項　　目</w:t>
            </w:r>
          </w:p>
        </w:tc>
        <w:tc>
          <w:tcPr>
            <w:tcW w:w="7087" w:type="dxa"/>
          </w:tcPr>
          <w:p w14:paraId="03676095" w14:textId="77777777" w:rsidR="00697767" w:rsidRPr="00880D0E" w:rsidRDefault="00B77EA5" w:rsidP="00B77EA5">
            <w:pPr>
              <w:jc w:val="center"/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>内　　　　　容</w:t>
            </w:r>
          </w:p>
        </w:tc>
      </w:tr>
      <w:tr w:rsidR="00880D0E" w:rsidRPr="00880D0E" w14:paraId="7592AF73" w14:textId="77777777" w:rsidTr="00A169A5">
        <w:trPr>
          <w:trHeight w:val="1299"/>
        </w:trPr>
        <w:tc>
          <w:tcPr>
            <w:tcW w:w="1980" w:type="dxa"/>
            <w:vAlign w:val="center"/>
          </w:tcPr>
          <w:p w14:paraId="459C11E1" w14:textId="77777777" w:rsidR="00697767" w:rsidRPr="00880D0E" w:rsidRDefault="00697767">
            <w:pPr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 xml:space="preserve">１ </w:t>
            </w:r>
            <w:r w:rsidR="00E65F75" w:rsidRPr="00880D0E">
              <w:rPr>
                <w:rFonts w:hint="eastAsia"/>
                <w:color w:val="000000" w:themeColor="text1"/>
              </w:rPr>
              <w:t>事業内容</w:t>
            </w:r>
          </w:p>
        </w:tc>
        <w:tc>
          <w:tcPr>
            <w:tcW w:w="7087" w:type="dxa"/>
            <w:vAlign w:val="center"/>
          </w:tcPr>
          <w:p w14:paraId="0F66CB52" w14:textId="77777777" w:rsidR="00A169A5" w:rsidRPr="00880D0E" w:rsidRDefault="00270BAF" w:rsidP="00A57BA4">
            <w:pPr>
              <w:spacing w:line="320" w:lineRule="exact"/>
              <w:ind w:firstLineChars="100" w:firstLine="221"/>
              <w:rPr>
                <w:color w:val="000000" w:themeColor="text1"/>
              </w:rPr>
            </w:pPr>
            <w:r w:rsidRPr="00270BAF">
              <w:rPr>
                <w:rFonts w:hint="eastAsia"/>
                <w:color w:val="000000" w:themeColor="text1"/>
              </w:rPr>
              <w:t>デジタル分野の訓練を実</w:t>
            </w:r>
            <w:r w:rsidR="00A57BA4">
              <w:rPr>
                <w:rFonts w:hint="eastAsia"/>
                <w:color w:val="000000" w:themeColor="text1"/>
              </w:rPr>
              <w:t>施する委託先機関に対して</w:t>
            </w:r>
            <w:r>
              <w:rPr>
                <w:rFonts w:hint="eastAsia"/>
                <w:color w:val="000000" w:themeColor="text1"/>
              </w:rPr>
              <w:t>要件を満たす</w:t>
            </w:r>
            <w:r w:rsidR="00750FCA" w:rsidRPr="00750FCA">
              <w:rPr>
                <w:rFonts w:hint="eastAsia"/>
                <w:color w:val="000000" w:themeColor="text1"/>
              </w:rPr>
              <w:t>場合は</w:t>
            </w:r>
            <w:r w:rsidR="00A30CEA">
              <w:rPr>
                <w:rFonts w:hint="eastAsia"/>
                <w:color w:val="000000" w:themeColor="text1"/>
              </w:rPr>
              <w:t>、報償費の支給</w:t>
            </w:r>
            <w:r w:rsidR="00697767" w:rsidRPr="00880D0E">
              <w:rPr>
                <w:rFonts w:hint="eastAsia"/>
                <w:color w:val="000000" w:themeColor="text1"/>
              </w:rPr>
              <w:t>（</w:t>
            </w:r>
            <w:r w:rsidR="00797DB4" w:rsidRPr="00880D0E">
              <w:rPr>
                <w:rFonts w:hint="eastAsia"/>
                <w:color w:val="000000" w:themeColor="text1"/>
              </w:rPr>
              <w:t>全期間について</w:t>
            </w:r>
            <w:r w:rsidR="00697767" w:rsidRPr="00880D0E">
              <w:rPr>
                <w:rFonts w:hint="eastAsia"/>
                <w:color w:val="000000" w:themeColor="text1"/>
              </w:rPr>
              <w:t>１人</w:t>
            </w:r>
            <w:r w:rsidR="00C66B00" w:rsidRPr="00880D0E">
              <w:rPr>
                <w:rFonts w:hint="eastAsia"/>
                <w:color w:val="000000" w:themeColor="text1"/>
              </w:rPr>
              <w:t>月</w:t>
            </w:r>
            <w:r w:rsidR="00697767" w:rsidRPr="00880D0E">
              <w:rPr>
                <w:rFonts w:hint="eastAsia"/>
                <w:color w:val="000000" w:themeColor="text1"/>
              </w:rPr>
              <w:t>当たり</w:t>
            </w:r>
            <w:r w:rsidR="007352DD">
              <w:rPr>
                <w:rFonts w:hint="eastAsia"/>
                <w:b/>
                <w:color w:val="000000" w:themeColor="text1"/>
                <w:u w:val="single"/>
              </w:rPr>
              <w:t>5</w:t>
            </w:r>
            <w:r w:rsidR="004A7A8E" w:rsidRPr="004A7A8E">
              <w:rPr>
                <w:rFonts w:hint="eastAsia"/>
                <w:b/>
                <w:color w:val="000000" w:themeColor="text1"/>
                <w:u w:val="single"/>
              </w:rPr>
              <w:t>,000</w:t>
            </w:r>
            <w:r w:rsidR="00697767" w:rsidRPr="004A7A8E">
              <w:rPr>
                <w:rFonts w:hint="eastAsia"/>
                <w:b/>
                <w:color w:val="000000" w:themeColor="text1"/>
                <w:u w:val="single"/>
              </w:rPr>
              <w:t>円</w:t>
            </w:r>
            <w:r w:rsidR="000B7B36">
              <w:rPr>
                <w:rFonts w:hint="eastAsia"/>
                <w:b/>
                <w:color w:val="000000" w:themeColor="text1"/>
                <w:u w:val="single"/>
              </w:rPr>
              <w:t>（外税）</w:t>
            </w:r>
            <w:r w:rsidR="00797DB4" w:rsidRPr="00880D0E">
              <w:rPr>
                <w:rFonts w:hint="eastAsia"/>
                <w:color w:val="000000" w:themeColor="text1"/>
              </w:rPr>
              <w:t>の上乗せ</w:t>
            </w:r>
            <w:r w:rsidR="00750FCA">
              <w:rPr>
                <w:rFonts w:hint="eastAsia"/>
                <w:color w:val="000000" w:themeColor="text1"/>
              </w:rPr>
              <w:t>）を行う。</w:t>
            </w:r>
          </w:p>
        </w:tc>
      </w:tr>
      <w:tr w:rsidR="00880D0E" w:rsidRPr="00B22465" w14:paraId="2F3A07B7" w14:textId="77777777" w:rsidTr="009D55DE">
        <w:trPr>
          <w:trHeight w:val="1734"/>
        </w:trPr>
        <w:tc>
          <w:tcPr>
            <w:tcW w:w="1980" w:type="dxa"/>
            <w:vAlign w:val="center"/>
          </w:tcPr>
          <w:p w14:paraId="1761C47E" w14:textId="77777777" w:rsidR="00697767" w:rsidRPr="00880D0E" w:rsidRDefault="00697767">
            <w:pPr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>２ 対象訓練</w:t>
            </w:r>
          </w:p>
        </w:tc>
        <w:tc>
          <w:tcPr>
            <w:tcW w:w="7087" w:type="dxa"/>
            <w:vAlign w:val="center"/>
          </w:tcPr>
          <w:p w14:paraId="1CBBD70A" w14:textId="77777777" w:rsidR="00C66B00" w:rsidRPr="00880D0E" w:rsidRDefault="00C66B00" w:rsidP="000E0F8A">
            <w:pPr>
              <w:spacing w:line="320" w:lineRule="exact"/>
              <w:ind w:left="221" w:hangingChars="100" w:hanging="221"/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 xml:space="preserve">　次のいずれも満たすこと</w:t>
            </w:r>
          </w:p>
          <w:p w14:paraId="6D355620" w14:textId="77777777" w:rsidR="007352DD" w:rsidRDefault="00E942DD" w:rsidP="007352DD">
            <w:pPr>
              <w:spacing w:line="320" w:lineRule="exact"/>
              <w:ind w:left="221" w:hangingChars="100" w:hanging="221"/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>(1) 知識等習得訓練</w:t>
            </w:r>
            <w:r w:rsidRPr="00D5232A">
              <w:rPr>
                <w:rFonts w:hint="eastAsia"/>
                <w:color w:val="000000" w:themeColor="text1"/>
              </w:rPr>
              <w:t>コース、</w:t>
            </w:r>
            <w:r w:rsidRPr="00D5232A">
              <w:rPr>
                <w:color w:val="000000" w:themeColor="text1"/>
              </w:rPr>
              <w:t>ｅラーニングコース</w:t>
            </w:r>
            <w:r w:rsidRPr="00D5232A">
              <w:rPr>
                <w:rFonts w:hint="eastAsia"/>
                <w:color w:val="000000" w:themeColor="text1"/>
              </w:rPr>
              <w:t>及びデュアルシステムコースで、</w:t>
            </w:r>
            <w:r w:rsidR="007352DD" w:rsidRPr="00D5232A">
              <w:rPr>
                <w:rFonts w:hint="eastAsia"/>
                <w:color w:val="000000" w:themeColor="text1"/>
              </w:rPr>
              <w:t xml:space="preserve"> 「</w:t>
            </w:r>
            <w:r w:rsidR="007352DD" w:rsidRPr="00D5232A">
              <w:rPr>
                <w:color w:val="000000" w:themeColor="text1"/>
              </w:rPr>
              <w:t>DX推進スキル標準」において整理された共通スキルリストのカテゴリーである「ビジネス変革」、「データ活用」、「テクノロジー」、「セキュリティ」のうち、</w:t>
            </w:r>
            <w:r w:rsidR="007352DD" w:rsidRPr="00D5232A">
              <w:rPr>
                <w:color w:val="000000" w:themeColor="text1"/>
                <w:u w:val="single"/>
              </w:rPr>
              <w:t>複</w:t>
            </w:r>
            <w:r w:rsidR="007352DD" w:rsidRPr="00A169A5">
              <w:rPr>
                <w:color w:val="000000" w:themeColor="text1"/>
                <w:u w:val="single"/>
              </w:rPr>
              <w:t>数のカテゴリーの学習項目が科目に盛り込まれたカリキュラム</w:t>
            </w:r>
            <w:r w:rsidR="007352DD" w:rsidRPr="007352DD">
              <w:rPr>
                <w:color w:val="000000" w:themeColor="text1"/>
              </w:rPr>
              <w:t>となっているコース</w:t>
            </w:r>
          </w:p>
          <w:p w14:paraId="3235EC02" w14:textId="77777777" w:rsidR="007352DD" w:rsidRDefault="007352DD" w:rsidP="007352DD">
            <w:pPr>
              <w:spacing w:line="320" w:lineRule="exact"/>
              <w:ind w:left="221" w:hangingChars="100" w:hanging="221"/>
              <w:rPr>
                <w:color w:val="000000" w:themeColor="text1"/>
              </w:rPr>
            </w:pPr>
          </w:p>
          <w:p w14:paraId="59ABCF3C" w14:textId="399C0706" w:rsidR="00C66B00" w:rsidRPr="00880D0E" w:rsidRDefault="00E942DD" w:rsidP="007352DD">
            <w:pPr>
              <w:spacing w:line="320" w:lineRule="exact"/>
              <w:ind w:left="221" w:hangingChars="100" w:hanging="221"/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 xml:space="preserve">(2) </w:t>
            </w:r>
            <w:r w:rsidRPr="00334BF8">
              <w:rPr>
                <w:rFonts w:hint="eastAsia"/>
                <w:color w:val="FF0000"/>
              </w:rPr>
              <w:t>令和</w:t>
            </w:r>
            <w:r w:rsidR="00334BF8" w:rsidRPr="00334BF8">
              <w:rPr>
                <w:rFonts w:hint="eastAsia"/>
                <w:color w:val="FF0000"/>
              </w:rPr>
              <w:t>10</w:t>
            </w:r>
            <w:r w:rsidRPr="00334BF8">
              <w:rPr>
                <w:rFonts w:hint="eastAsia"/>
                <w:color w:val="FF0000"/>
              </w:rPr>
              <w:t>年３月31日</w:t>
            </w:r>
            <w:r>
              <w:rPr>
                <w:rFonts w:hint="eastAsia"/>
                <w:color w:val="000000" w:themeColor="text1"/>
              </w:rPr>
              <w:t>まで</w:t>
            </w:r>
            <w:r w:rsidRPr="00880D0E">
              <w:rPr>
                <w:rFonts w:hint="eastAsia"/>
                <w:color w:val="000000" w:themeColor="text1"/>
              </w:rPr>
              <w:t>に訓練を開始す</w:t>
            </w:r>
            <w:r>
              <w:rPr>
                <w:rFonts w:hint="eastAsia"/>
                <w:color w:val="000000" w:themeColor="text1"/>
              </w:rPr>
              <w:t>るコースとする。</w:t>
            </w:r>
          </w:p>
        </w:tc>
      </w:tr>
      <w:tr w:rsidR="00880D0E" w:rsidRPr="00880D0E" w14:paraId="025790E1" w14:textId="77777777" w:rsidTr="00445C8A">
        <w:trPr>
          <w:trHeight w:val="1478"/>
        </w:trPr>
        <w:tc>
          <w:tcPr>
            <w:tcW w:w="1980" w:type="dxa"/>
            <w:vAlign w:val="center"/>
          </w:tcPr>
          <w:p w14:paraId="6046C5EE" w14:textId="77777777" w:rsidR="00697767" w:rsidRPr="00880D0E" w:rsidRDefault="00697767" w:rsidP="00697767">
            <w:pPr>
              <w:ind w:left="221" w:hangingChars="100" w:hanging="221"/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 xml:space="preserve">３ </w:t>
            </w:r>
            <w:r w:rsidR="00B34000">
              <w:rPr>
                <w:rFonts w:hint="eastAsia"/>
                <w:color w:val="000000" w:themeColor="text1"/>
              </w:rPr>
              <w:t>デジタル</w:t>
            </w:r>
            <w:r w:rsidR="00F85C26">
              <w:rPr>
                <w:rFonts w:hint="eastAsia"/>
                <w:color w:val="000000" w:themeColor="text1"/>
              </w:rPr>
              <w:t>訓練促進費</w:t>
            </w:r>
            <w:r w:rsidRPr="00880D0E">
              <w:rPr>
                <w:rFonts w:hint="eastAsia"/>
                <w:color w:val="000000" w:themeColor="text1"/>
              </w:rPr>
              <w:t>の</w:t>
            </w:r>
            <w:r w:rsidR="00DF4C8E">
              <w:rPr>
                <w:rFonts w:hint="eastAsia"/>
                <w:color w:val="000000" w:themeColor="text1"/>
              </w:rPr>
              <w:t>支給</w:t>
            </w:r>
            <w:r w:rsidRPr="00880D0E">
              <w:rPr>
                <w:rFonts w:hint="eastAsia"/>
                <w:color w:val="000000" w:themeColor="text1"/>
              </w:rPr>
              <w:t>要件</w:t>
            </w:r>
          </w:p>
        </w:tc>
        <w:tc>
          <w:tcPr>
            <w:tcW w:w="7087" w:type="dxa"/>
            <w:vAlign w:val="center"/>
          </w:tcPr>
          <w:p w14:paraId="16241C1F" w14:textId="77777777" w:rsidR="00067C0D" w:rsidRPr="00067C0D" w:rsidRDefault="00B34000" w:rsidP="000E0F8A">
            <w:pPr>
              <w:spacing w:line="320" w:lineRule="exact"/>
              <w:ind w:left="221" w:hangingChars="100" w:hanging="22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詳細は</w:t>
            </w:r>
            <w:r w:rsidR="00C50A30">
              <w:rPr>
                <w:rFonts w:hint="eastAsia"/>
                <w:color w:val="000000" w:themeColor="text1"/>
              </w:rPr>
              <w:t>別紙</w:t>
            </w:r>
            <w:r>
              <w:rPr>
                <w:rFonts w:hint="eastAsia"/>
                <w:color w:val="000000" w:themeColor="text1"/>
              </w:rPr>
              <w:t>※１を参照</w:t>
            </w:r>
          </w:p>
        </w:tc>
      </w:tr>
      <w:tr w:rsidR="00891604" w:rsidRPr="00880D0E" w14:paraId="238A7A13" w14:textId="77777777" w:rsidTr="00A169A5">
        <w:trPr>
          <w:trHeight w:val="1513"/>
        </w:trPr>
        <w:tc>
          <w:tcPr>
            <w:tcW w:w="1980" w:type="dxa"/>
            <w:vAlign w:val="center"/>
          </w:tcPr>
          <w:p w14:paraId="745DC361" w14:textId="77777777" w:rsidR="00891604" w:rsidRPr="00880D0E" w:rsidRDefault="004A7A8E" w:rsidP="00697767">
            <w:pPr>
              <w:ind w:left="221" w:hangingChars="100" w:hanging="22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891604" w:rsidRPr="00880D0E">
              <w:rPr>
                <w:rFonts w:hint="eastAsia"/>
                <w:color w:val="000000" w:themeColor="text1"/>
              </w:rPr>
              <w:t xml:space="preserve"> 上乗せのための手続きおよび要件</w:t>
            </w:r>
          </w:p>
        </w:tc>
        <w:tc>
          <w:tcPr>
            <w:tcW w:w="7087" w:type="dxa"/>
            <w:vAlign w:val="center"/>
          </w:tcPr>
          <w:p w14:paraId="4C1D508F" w14:textId="77777777" w:rsidR="00BF542D" w:rsidRDefault="00BF542D" w:rsidP="004A7A8E">
            <w:pPr>
              <w:spacing w:line="320" w:lineRule="exact"/>
              <w:ind w:left="221" w:hangingChars="100" w:hanging="22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</w:t>
            </w:r>
            <w:r w:rsidR="00DE4D59">
              <w:rPr>
                <w:rFonts w:hint="eastAsia"/>
                <w:color w:val="000000" w:themeColor="text1"/>
              </w:rPr>
              <w:t>企画提案募集時</w:t>
            </w:r>
            <w:r w:rsidR="00B34000">
              <w:rPr>
                <w:rFonts w:hint="eastAsia"/>
                <w:color w:val="000000" w:themeColor="text1"/>
              </w:rPr>
              <w:t>に</w:t>
            </w:r>
            <w:r w:rsidR="007352DD" w:rsidRPr="00BF542D">
              <w:rPr>
                <w:rFonts w:hint="eastAsia"/>
                <w:color w:val="000000" w:themeColor="text1"/>
                <w:u w:val="single"/>
              </w:rPr>
              <w:t>スキル項目・学習項目チェックシート</w:t>
            </w:r>
            <w:r w:rsidRPr="00BF542D">
              <w:rPr>
                <w:rFonts w:hint="eastAsia"/>
                <w:color w:val="000000" w:themeColor="text1"/>
                <w:u w:val="single"/>
              </w:rPr>
              <w:t>（様式14）</w:t>
            </w:r>
            <w:r>
              <w:rPr>
                <w:rFonts w:hint="eastAsia"/>
                <w:color w:val="000000" w:themeColor="text1"/>
              </w:rPr>
              <w:t>及び</w:t>
            </w:r>
            <w:r w:rsidRPr="00BF542D">
              <w:rPr>
                <w:rFonts w:hint="eastAsia"/>
                <w:color w:val="000000" w:themeColor="text1"/>
                <w:u w:val="single"/>
              </w:rPr>
              <w:t>学習項目に対応する訓練カリキュラムの該当箇所がわかる資料</w:t>
            </w:r>
            <w:r>
              <w:rPr>
                <w:rFonts w:hint="eastAsia"/>
                <w:color w:val="000000" w:themeColor="text1"/>
              </w:rPr>
              <w:t>等の書類</w:t>
            </w:r>
            <w:r w:rsidR="00891604" w:rsidRPr="00880D0E">
              <w:rPr>
                <w:rFonts w:hint="eastAsia"/>
                <w:color w:val="000000" w:themeColor="text1"/>
              </w:rPr>
              <w:t>を提出すること</w:t>
            </w:r>
            <w:r w:rsidR="00211699">
              <w:rPr>
                <w:rFonts w:hint="eastAsia"/>
                <w:color w:val="000000" w:themeColor="text1"/>
              </w:rPr>
              <w:t>。</w:t>
            </w:r>
          </w:p>
          <w:p w14:paraId="1BA85325" w14:textId="77777777" w:rsidR="00891604" w:rsidRPr="00880D0E" w:rsidRDefault="00891604" w:rsidP="004A7A8E">
            <w:pPr>
              <w:spacing w:line="320" w:lineRule="exact"/>
              <w:ind w:left="221" w:hangingChars="100" w:hanging="221"/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>（契約後に提出する場合は契約変更すること）</w:t>
            </w:r>
          </w:p>
        </w:tc>
      </w:tr>
      <w:tr w:rsidR="00891604" w:rsidRPr="00880D0E" w14:paraId="236217BC" w14:textId="77777777" w:rsidTr="00A169A5">
        <w:trPr>
          <w:trHeight w:val="1796"/>
        </w:trPr>
        <w:tc>
          <w:tcPr>
            <w:tcW w:w="1980" w:type="dxa"/>
            <w:vAlign w:val="center"/>
          </w:tcPr>
          <w:p w14:paraId="1279F742" w14:textId="77777777" w:rsidR="00891604" w:rsidRPr="00880D0E" w:rsidRDefault="004A7A8E" w:rsidP="007F5D75">
            <w:pPr>
              <w:ind w:left="221" w:hangingChars="100" w:hanging="22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891604" w:rsidRPr="00880D0E">
              <w:rPr>
                <w:rFonts w:hint="eastAsia"/>
                <w:color w:val="000000" w:themeColor="text1"/>
              </w:rPr>
              <w:t xml:space="preserve"> </w:t>
            </w:r>
            <w:r w:rsidR="000B7B36">
              <w:rPr>
                <w:rFonts w:hint="eastAsia"/>
                <w:color w:val="000000" w:themeColor="text1"/>
              </w:rPr>
              <w:t>支給時期</w:t>
            </w:r>
          </w:p>
        </w:tc>
        <w:tc>
          <w:tcPr>
            <w:tcW w:w="7087" w:type="dxa"/>
            <w:vAlign w:val="center"/>
          </w:tcPr>
          <w:p w14:paraId="6C0F55F9" w14:textId="77777777" w:rsidR="00891604" w:rsidRPr="00880D0E" w:rsidRDefault="000B7B36" w:rsidP="000B7B36">
            <w:pPr>
              <w:spacing w:line="320" w:lineRule="exact"/>
              <w:ind w:leftChars="-186" w:left="31" w:hangingChars="200" w:hanging="442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</w:t>
            </w:r>
            <w:r w:rsidRPr="000B7B36">
              <w:rPr>
                <w:rFonts w:hint="eastAsia"/>
                <w:color w:val="000000" w:themeColor="text1"/>
              </w:rPr>
              <w:t>訓練期間が３箇月を超える場合、</w:t>
            </w:r>
            <w:r>
              <w:rPr>
                <w:rFonts w:hint="eastAsia"/>
                <w:color w:val="000000" w:themeColor="text1"/>
              </w:rPr>
              <w:t>委託訓練実施要領</w:t>
            </w:r>
            <w:r w:rsidR="003E4F48">
              <w:rPr>
                <w:rFonts w:hint="eastAsia"/>
                <w:color w:val="000000" w:themeColor="text1"/>
              </w:rPr>
              <w:t>（以下要領）</w:t>
            </w:r>
            <w:r w:rsidR="00C00462">
              <w:rPr>
                <w:rFonts w:hint="eastAsia"/>
                <w:color w:val="000000" w:themeColor="text1"/>
              </w:rPr>
              <w:t>第１章第11(3)</w:t>
            </w:r>
            <w:r w:rsidRPr="000B7B36">
              <w:rPr>
                <w:rFonts w:hint="eastAsia"/>
                <w:color w:val="000000" w:themeColor="text1"/>
              </w:rPr>
              <w:t>により３箇月毎に訓練実施経費を支払うことは可能であるが、</w:t>
            </w:r>
            <w:r w:rsidR="00C50A30">
              <w:rPr>
                <w:rFonts w:hint="eastAsia"/>
                <w:color w:val="000000" w:themeColor="text1"/>
              </w:rPr>
              <w:t>デジタル</w:t>
            </w:r>
            <w:r w:rsidRPr="000B7B36">
              <w:rPr>
                <w:color w:val="000000" w:themeColor="text1"/>
              </w:rPr>
              <w:t>訓練促進費</w:t>
            </w:r>
            <w:r w:rsidR="00A169A5" w:rsidRPr="00A169A5">
              <w:rPr>
                <w:rFonts w:hint="eastAsia"/>
                <w:color w:val="000000" w:themeColor="text1"/>
              </w:rPr>
              <w:t>（ＤＸ推進スキル標準対応コース）</w:t>
            </w:r>
            <w:r w:rsidR="00EB00AC">
              <w:rPr>
                <w:color w:val="000000" w:themeColor="text1"/>
              </w:rPr>
              <w:t>は訓練終了後に支払う</w:t>
            </w:r>
            <w:r w:rsidRPr="000B7B36">
              <w:rPr>
                <w:color w:val="000000" w:themeColor="text1"/>
              </w:rPr>
              <w:t>。</w:t>
            </w:r>
          </w:p>
        </w:tc>
      </w:tr>
      <w:tr w:rsidR="0095626D" w:rsidRPr="00880D0E" w14:paraId="11513FA3" w14:textId="77777777" w:rsidTr="00A169A5">
        <w:trPr>
          <w:trHeight w:val="1645"/>
        </w:trPr>
        <w:tc>
          <w:tcPr>
            <w:tcW w:w="1980" w:type="dxa"/>
            <w:vAlign w:val="center"/>
          </w:tcPr>
          <w:p w14:paraId="05355EE4" w14:textId="77777777" w:rsidR="0095626D" w:rsidRDefault="0095626D" w:rsidP="007F5D75">
            <w:pPr>
              <w:ind w:left="221" w:hangingChars="100" w:hanging="22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 その他</w:t>
            </w:r>
          </w:p>
        </w:tc>
        <w:tc>
          <w:tcPr>
            <w:tcW w:w="7087" w:type="dxa"/>
            <w:vAlign w:val="center"/>
          </w:tcPr>
          <w:p w14:paraId="6B861144" w14:textId="77777777" w:rsidR="0095626D" w:rsidRDefault="0095626D" w:rsidP="000B7B36">
            <w:pPr>
              <w:spacing w:line="320" w:lineRule="exact"/>
              <w:ind w:leftChars="-186" w:left="31" w:hangingChars="200" w:hanging="442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</w:t>
            </w:r>
            <w:r w:rsidRPr="0095626D">
              <w:rPr>
                <w:rFonts w:hint="eastAsia"/>
                <w:color w:val="000000" w:themeColor="text1"/>
              </w:rPr>
              <w:t>支払いについては</w:t>
            </w:r>
            <w:r>
              <w:rPr>
                <w:rFonts w:hint="eastAsia"/>
                <w:color w:val="000000" w:themeColor="text1"/>
              </w:rPr>
              <w:t>要領</w:t>
            </w:r>
            <w:r w:rsidR="00C00462">
              <w:rPr>
                <w:rFonts w:hint="eastAsia"/>
                <w:color w:val="000000" w:themeColor="text1"/>
              </w:rPr>
              <w:t>第１章第11</w:t>
            </w:r>
            <w:r w:rsidRPr="0095626D">
              <w:rPr>
                <w:rFonts w:hint="eastAsia"/>
                <w:color w:val="000000" w:themeColor="text1"/>
              </w:rPr>
              <w:t>「委託費の支払い」を準用することによって得た額とすること。</w:t>
            </w:r>
          </w:p>
        </w:tc>
      </w:tr>
    </w:tbl>
    <w:p w14:paraId="75031346" w14:textId="77777777" w:rsidR="00322758" w:rsidRDefault="00322758" w:rsidP="00445C8A">
      <w:pPr>
        <w:spacing w:line="290" w:lineRule="exact"/>
        <w:rPr>
          <w:color w:val="000000" w:themeColor="text1"/>
        </w:rPr>
      </w:pPr>
    </w:p>
    <w:p w14:paraId="12075413" w14:textId="77777777" w:rsidR="004A7A8E" w:rsidRDefault="004A7A8E" w:rsidP="00445C8A">
      <w:pPr>
        <w:spacing w:line="290" w:lineRule="exact"/>
        <w:rPr>
          <w:color w:val="000000" w:themeColor="text1"/>
        </w:rPr>
      </w:pPr>
    </w:p>
    <w:p w14:paraId="3E312941" w14:textId="77777777" w:rsidR="004A7A8E" w:rsidRDefault="004A7A8E" w:rsidP="00445C8A">
      <w:pPr>
        <w:spacing w:line="290" w:lineRule="exact"/>
        <w:rPr>
          <w:color w:val="000000" w:themeColor="text1"/>
        </w:rPr>
      </w:pPr>
    </w:p>
    <w:p w14:paraId="7F087FF8" w14:textId="77777777" w:rsidR="004A7A8E" w:rsidRDefault="004A7A8E" w:rsidP="00445C8A">
      <w:pPr>
        <w:spacing w:line="290" w:lineRule="exact"/>
        <w:rPr>
          <w:color w:val="000000" w:themeColor="text1"/>
        </w:rPr>
      </w:pPr>
    </w:p>
    <w:p w14:paraId="042259BD" w14:textId="77777777" w:rsidR="00257944" w:rsidRDefault="00257944" w:rsidP="00445C8A">
      <w:pPr>
        <w:spacing w:line="290" w:lineRule="exact"/>
        <w:rPr>
          <w:color w:val="000000" w:themeColor="text1"/>
        </w:rPr>
      </w:pPr>
    </w:p>
    <w:p w14:paraId="34D958E4" w14:textId="77777777" w:rsidR="00B34000" w:rsidRPr="00BF542D" w:rsidRDefault="006C0900" w:rsidP="00BF542D">
      <w:pPr>
        <w:spacing w:line="290" w:lineRule="exact"/>
        <w:rPr>
          <w:rFonts w:ascii="ＭＳ Ｐゴシック" w:eastAsia="ＭＳ Ｐゴシック" w:hAnsi="ＭＳ Ｐゴシック"/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036A16" wp14:editId="51099E04">
                <wp:simplePos x="0" y="0"/>
                <wp:positionH relativeFrom="column">
                  <wp:posOffset>5090795</wp:posOffset>
                </wp:positionH>
                <wp:positionV relativeFrom="paragraph">
                  <wp:posOffset>-229235</wp:posOffset>
                </wp:positionV>
                <wp:extent cx="628650" cy="276225"/>
                <wp:effectExtent l="0" t="0" r="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4A032C" w14:textId="77777777" w:rsidR="006C0900" w:rsidRDefault="006C0900">
                            <w:r>
                              <w:rPr>
                                <w:rFonts w:hint="eastAsia"/>
                              </w:rPr>
                              <w:t>別紙</w:t>
                            </w:r>
                            <w:r w:rsidR="00480437"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36A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00.85pt;margin-top:-18.05pt;width:49.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" fillcolor="white [3201]" stroked="f" strokeweight=".5pt">
                <v:textbox>
                  <w:txbxContent>
                    <w:p w14:paraId="0E4A032C" w14:textId="77777777" w:rsidR="006C0900" w:rsidRDefault="006C0900">
                      <w:r>
                        <w:rPr>
                          <w:rFonts w:hint="eastAsia"/>
                        </w:rPr>
                        <w:t>別紙</w:t>
                      </w:r>
                      <w:r w:rsidR="00480437"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B34000" w:rsidRPr="00C50A30">
        <w:rPr>
          <w:rFonts w:ascii="ＭＳ Ｐゴシック" w:eastAsia="ＭＳ Ｐゴシック" w:hAnsi="ＭＳ Ｐゴシック" w:hint="eastAsia"/>
          <w:color w:val="000000" w:themeColor="text1"/>
        </w:rPr>
        <w:t>１　デジタル</w:t>
      </w:r>
      <w:r w:rsidR="00DF4C8E">
        <w:rPr>
          <w:rFonts w:ascii="ＭＳ Ｐゴシック" w:eastAsia="ＭＳ Ｐゴシック" w:hAnsi="ＭＳ Ｐゴシック" w:hint="eastAsia"/>
          <w:color w:val="000000" w:themeColor="text1"/>
        </w:rPr>
        <w:t>訓練促進費の支給</w:t>
      </w:r>
      <w:r w:rsidR="00782F38" w:rsidRPr="00C50A30">
        <w:rPr>
          <w:rFonts w:ascii="ＭＳ Ｐゴシック" w:eastAsia="ＭＳ Ｐゴシック" w:hAnsi="ＭＳ Ｐゴシック" w:hint="eastAsia"/>
          <w:color w:val="000000" w:themeColor="text1"/>
        </w:rPr>
        <w:t>要件</w:t>
      </w:r>
    </w:p>
    <w:p w14:paraId="1133E345" w14:textId="77777777" w:rsidR="00B34000" w:rsidRPr="00B34000" w:rsidRDefault="00BF542D" w:rsidP="0000559E">
      <w:pPr>
        <w:overflowPunct w:val="0"/>
        <w:spacing w:line="320" w:lineRule="exact"/>
        <w:ind w:leftChars="65" w:left="328" w:hangingChars="83" w:hanging="184"/>
        <w:textAlignment w:val="baseline"/>
        <w:rPr>
          <w:rFonts w:ascii="ＭＳ Ｐゴシック" w:eastAsia="ＭＳ Ｐゴシック" w:hAnsi="ＭＳ Ｐゴシック" w:cs="ＭＳ 明朝"/>
          <w:color w:val="000000" w:themeColor="text1"/>
          <w:kern w:val="0"/>
          <w:szCs w:val="24"/>
          <w:lang w:bidi="as-IN"/>
        </w:rPr>
      </w:pPr>
      <w:r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Cs w:val="24"/>
          <w:lang w:bidi="as-IN"/>
        </w:rPr>
        <w:t>〔</w:t>
      </w:r>
      <w:r w:rsidR="00B34000" w:rsidRPr="00B34000"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Cs w:val="24"/>
          <w:lang w:bidi="as-IN"/>
        </w:rPr>
        <w:t>訓練コース要件</w:t>
      </w:r>
      <w:r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Cs w:val="24"/>
          <w:lang w:bidi="as-IN"/>
        </w:rPr>
        <w:t>〕</w:t>
      </w:r>
    </w:p>
    <w:p w14:paraId="0EA289A3" w14:textId="77777777" w:rsidR="00B34000" w:rsidRDefault="00B34000" w:rsidP="00A169A5">
      <w:pPr>
        <w:overflowPunct w:val="0"/>
        <w:spacing w:line="320" w:lineRule="exact"/>
        <w:ind w:leftChars="129" w:left="327" w:hangingChars="19" w:hanging="42"/>
        <w:textAlignment w:val="baseline"/>
        <w:rPr>
          <w:rFonts w:cs="ＭＳ 明朝"/>
          <w:color w:val="000000" w:themeColor="text1"/>
          <w:kern w:val="0"/>
          <w:szCs w:val="24"/>
          <w:lang w:bidi="as-IN"/>
        </w:rPr>
      </w:pPr>
      <w:r w:rsidRPr="00B34000">
        <w:rPr>
          <w:rFonts w:cs="ＭＳ 明朝" w:hint="eastAsia"/>
          <w:color w:val="000000" w:themeColor="text1"/>
          <w:kern w:val="0"/>
          <w:szCs w:val="24"/>
          <w:lang w:bidi="as-IN"/>
        </w:rPr>
        <w:t xml:space="preserve"> </w:t>
      </w:r>
      <w:r w:rsidRPr="00B34000">
        <w:rPr>
          <w:rFonts w:cs="ＭＳ 明朝"/>
          <w:color w:val="000000" w:themeColor="text1"/>
          <w:kern w:val="0"/>
          <w:szCs w:val="24"/>
          <w:lang w:bidi="as-IN"/>
        </w:rPr>
        <w:t xml:space="preserve"> </w:t>
      </w:r>
      <w:r w:rsidR="00A169A5" w:rsidRPr="00A169A5">
        <w:rPr>
          <w:rFonts w:cs="ＭＳ 明朝" w:hint="eastAsia"/>
          <w:color w:val="000000" w:themeColor="text1"/>
          <w:kern w:val="0"/>
          <w:szCs w:val="24"/>
          <w:lang w:bidi="as-IN"/>
        </w:rPr>
        <w:t>知識等習得訓練コース、ｅラーニングコース及びデュアルシステムコースで、</w:t>
      </w:r>
      <w:r w:rsidR="00A169A5" w:rsidRPr="00A169A5">
        <w:rPr>
          <w:rFonts w:cs="ＭＳ 明朝"/>
          <w:color w:val="000000" w:themeColor="text1"/>
          <w:kern w:val="0"/>
          <w:szCs w:val="24"/>
          <w:lang w:bidi="as-IN"/>
        </w:rPr>
        <w:t xml:space="preserve"> 「DX推進スキル標準」において整理された共通スキルリストのカテゴリーである「ビジネス変革」、「データ活用」、「テクノロジー」、「セキュリティ」のうち、複数のカテゴリーの学習項目が科目に盛り込まれたカリキュラムとなっているコース</w:t>
      </w:r>
      <w:r w:rsidR="00480437">
        <w:rPr>
          <w:rFonts w:cs="ＭＳ 明朝" w:hint="eastAsia"/>
          <w:color w:val="000000" w:themeColor="text1"/>
          <w:kern w:val="0"/>
          <w:szCs w:val="24"/>
          <w:lang w:bidi="as-IN"/>
        </w:rPr>
        <w:t xml:space="preserve">　</w:t>
      </w:r>
    </w:p>
    <w:p w14:paraId="0C86F534" w14:textId="77777777" w:rsidR="00A169A5" w:rsidRPr="00A169A5" w:rsidRDefault="00AC116C" w:rsidP="00A169A5">
      <w:pPr>
        <w:overflowPunct w:val="0"/>
        <w:spacing w:line="320" w:lineRule="exact"/>
        <w:ind w:leftChars="129" w:left="327" w:hangingChars="19" w:hanging="42"/>
        <w:textAlignment w:val="baseline"/>
        <w:rPr>
          <w:rFonts w:cs="ＭＳ 明朝"/>
          <w:color w:val="000000" w:themeColor="text1"/>
          <w:kern w:val="0"/>
          <w:szCs w:val="24"/>
          <w:lang w:bidi="as-IN"/>
        </w:rPr>
      </w:pPr>
      <w:r w:rsidRPr="00AC116C">
        <w:rPr>
          <w:rFonts w:cs="ＭＳ 明朝" w:hint="eastAsia"/>
          <w:color w:val="000000" w:themeColor="text1"/>
          <w:kern w:val="0"/>
          <w:szCs w:val="24"/>
          <w:lang w:bidi="as-IN"/>
        </w:rPr>
        <w:t>（１つのカテゴリーのみ盛り込まれている場合は該当しない）</w:t>
      </w:r>
    </w:p>
    <w:p w14:paraId="30798E34" w14:textId="77777777" w:rsidR="00B34000" w:rsidRPr="00C50A30" w:rsidRDefault="00B34000" w:rsidP="00B34000">
      <w:pPr>
        <w:overflowPunct w:val="0"/>
        <w:spacing w:line="320" w:lineRule="exact"/>
        <w:ind w:leftChars="248" w:left="1091" w:hangingChars="245" w:hanging="542"/>
        <w:textAlignment w:val="baseline"/>
        <w:rPr>
          <w:rFonts w:ascii="ＭＳ Ｐゴシック" w:eastAsia="ＭＳ Ｐゴシック" w:hAnsi="ＭＳ Ｐゴシック" w:cs="ＭＳ 明朝"/>
          <w:color w:val="000000" w:themeColor="text1"/>
          <w:kern w:val="0"/>
          <w:szCs w:val="24"/>
          <w:lang w:bidi="as-IN"/>
        </w:rPr>
      </w:pPr>
    </w:p>
    <w:p w14:paraId="42513137" w14:textId="77777777" w:rsidR="000E0E94" w:rsidRPr="0095626D" w:rsidRDefault="00F00067" w:rsidP="00445C8A">
      <w:pPr>
        <w:spacing w:line="290" w:lineRule="exact"/>
        <w:rPr>
          <w:color w:val="000000" w:themeColor="text1"/>
        </w:rPr>
      </w:pPr>
      <w:r w:rsidRPr="00C50A30">
        <w:rPr>
          <w:rFonts w:ascii="ＭＳ Ｐゴシック" w:eastAsia="ＭＳ Ｐゴシック" w:hAnsi="ＭＳ Ｐゴシック" w:hint="eastAsia"/>
          <w:color w:val="000000" w:themeColor="text1"/>
        </w:rPr>
        <w:t>２</w:t>
      </w:r>
      <w:r w:rsidR="00A30CEA">
        <w:rPr>
          <w:rFonts w:ascii="ＭＳ Ｐゴシック" w:eastAsia="ＭＳ Ｐゴシック" w:hAnsi="ＭＳ Ｐゴシック" w:hint="eastAsia"/>
          <w:color w:val="000000" w:themeColor="text1"/>
        </w:rPr>
        <w:t xml:space="preserve">　報償費支給</w:t>
      </w:r>
      <w:r w:rsidR="000E0E94" w:rsidRPr="00C50A30">
        <w:rPr>
          <w:rFonts w:ascii="ＭＳ Ｐゴシック" w:eastAsia="ＭＳ Ｐゴシック" w:hAnsi="ＭＳ Ｐゴシック" w:hint="eastAsia"/>
          <w:color w:val="000000" w:themeColor="text1"/>
        </w:rPr>
        <w:t>の考え方</w:t>
      </w:r>
    </w:p>
    <w:p w14:paraId="3FD9DA08" w14:textId="47748399" w:rsidR="00A30CEA" w:rsidRDefault="000E0E94" w:rsidP="00F00067">
      <w:pPr>
        <w:spacing w:line="290" w:lineRule="exact"/>
        <w:ind w:leftChars="-207" w:left="427" w:hangingChars="400" w:hanging="885"/>
        <w:rPr>
          <w:color w:val="000000" w:themeColor="text1"/>
        </w:rPr>
      </w:pPr>
      <w:r w:rsidRPr="0095626D">
        <w:rPr>
          <w:rFonts w:hint="eastAsia"/>
          <w:color w:val="000000" w:themeColor="text1"/>
        </w:rPr>
        <w:t xml:space="preserve">　　　　　</w:t>
      </w:r>
      <w:r w:rsidR="00C50A30">
        <w:rPr>
          <w:rFonts w:hint="eastAsia"/>
          <w:color w:val="000000" w:themeColor="text1"/>
        </w:rPr>
        <w:t>訓練実施経費の上限はあくまで</w:t>
      </w:r>
      <w:r w:rsidR="00C50A30" w:rsidRPr="00BA274F">
        <w:rPr>
          <w:rFonts w:hint="eastAsia"/>
          <w:color w:val="FF0000"/>
        </w:rPr>
        <w:t>５万</w:t>
      </w:r>
      <w:r w:rsidR="00BA274F" w:rsidRPr="00BA274F">
        <w:rPr>
          <w:rFonts w:hint="eastAsia"/>
          <w:color w:val="FF0000"/>
        </w:rPr>
        <w:t>３千円</w:t>
      </w:r>
      <w:r w:rsidR="00C50A30">
        <w:rPr>
          <w:rFonts w:hint="eastAsia"/>
          <w:color w:val="000000" w:themeColor="text1"/>
        </w:rPr>
        <w:t>で、</w:t>
      </w:r>
      <w:r w:rsidR="00A30CEA">
        <w:rPr>
          <w:rFonts w:hint="eastAsia"/>
          <w:color w:val="000000" w:themeColor="text1"/>
        </w:rPr>
        <w:t>訓練実施費と別に</w:t>
      </w:r>
      <w:r w:rsidR="00C50A30">
        <w:rPr>
          <w:rFonts w:hint="eastAsia"/>
          <w:color w:val="000000" w:themeColor="text1"/>
        </w:rPr>
        <w:t>デジタル</w:t>
      </w:r>
      <w:r w:rsidR="00F00067" w:rsidRPr="0095626D">
        <w:rPr>
          <w:rFonts w:hint="eastAsia"/>
          <w:color w:val="000000" w:themeColor="text1"/>
        </w:rPr>
        <w:t>訓練促進費</w:t>
      </w:r>
      <w:r w:rsidR="00CF2527" w:rsidRPr="00CF2527">
        <w:rPr>
          <w:rFonts w:hint="eastAsia"/>
          <w:color w:val="000000" w:themeColor="text1"/>
        </w:rPr>
        <w:t>（ＤＸ推進スキル標準対応コース）</w:t>
      </w:r>
      <w:r w:rsidR="00A169A5">
        <w:rPr>
          <w:rFonts w:hint="eastAsia"/>
          <w:color w:val="000000" w:themeColor="text1"/>
        </w:rPr>
        <w:t>として５千</w:t>
      </w:r>
      <w:r w:rsidR="00A30CEA">
        <w:rPr>
          <w:rFonts w:hint="eastAsia"/>
          <w:color w:val="000000" w:themeColor="text1"/>
        </w:rPr>
        <w:t>円を報償費として支給</w:t>
      </w:r>
      <w:r w:rsidRPr="0095626D">
        <w:rPr>
          <w:rFonts w:hint="eastAsia"/>
          <w:color w:val="000000" w:themeColor="text1"/>
        </w:rPr>
        <w:t>するものです。</w:t>
      </w:r>
    </w:p>
    <w:p w14:paraId="238E3096" w14:textId="77777777" w:rsidR="00797DB4" w:rsidRDefault="00797DB4" w:rsidP="00F00067">
      <w:pPr>
        <w:spacing w:line="290" w:lineRule="exact"/>
        <w:ind w:leftChars="-207" w:left="427" w:hangingChars="400" w:hanging="885"/>
        <w:rPr>
          <w:color w:val="000000" w:themeColor="text1"/>
        </w:rPr>
      </w:pPr>
      <w:r w:rsidRPr="0095626D">
        <w:rPr>
          <w:rFonts w:hint="eastAsia"/>
          <w:color w:val="000000" w:themeColor="text1"/>
        </w:rPr>
        <w:t xml:space="preserve">　　　　　また、結</w:t>
      </w:r>
      <w:r w:rsidR="00C50A30">
        <w:rPr>
          <w:rFonts w:hint="eastAsia"/>
          <w:color w:val="000000" w:themeColor="text1"/>
        </w:rPr>
        <w:t>果的に上乗せの要件を満たさなかった場合、デジタル</w:t>
      </w:r>
      <w:r w:rsidR="00F00067" w:rsidRPr="0095626D">
        <w:rPr>
          <w:rFonts w:hint="eastAsia"/>
          <w:color w:val="000000" w:themeColor="text1"/>
        </w:rPr>
        <w:t>訓練促進費</w:t>
      </w:r>
      <w:r w:rsidR="00CF2527" w:rsidRPr="00CF2527">
        <w:rPr>
          <w:rFonts w:hint="eastAsia"/>
          <w:color w:val="000000" w:themeColor="text1"/>
        </w:rPr>
        <w:t>（ＤＸ推進スキル標準対応コース）</w:t>
      </w:r>
      <w:r w:rsidRPr="0095626D">
        <w:rPr>
          <w:rFonts w:hint="eastAsia"/>
          <w:color w:val="000000" w:themeColor="text1"/>
        </w:rPr>
        <w:t>を除く訓練実施経費のみの支払となります。</w:t>
      </w:r>
    </w:p>
    <w:p w14:paraId="20EAAF81" w14:textId="77777777" w:rsidR="00CF2527" w:rsidRDefault="00CF2527" w:rsidP="00F00067">
      <w:pPr>
        <w:spacing w:line="290" w:lineRule="exact"/>
        <w:ind w:leftChars="-207" w:left="427" w:hangingChars="400" w:hanging="885"/>
        <w:rPr>
          <w:color w:val="000000" w:themeColor="text1"/>
        </w:rPr>
      </w:pPr>
    </w:p>
    <w:p w14:paraId="665BA680" w14:textId="77777777" w:rsidR="00CF2527" w:rsidRPr="0095626D" w:rsidRDefault="00CF2527" w:rsidP="00F00067">
      <w:pPr>
        <w:spacing w:line="290" w:lineRule="exact"/>
        <w:ind w:leftChars="-207" w:left="427" w:hangingChars="400" w:hanging="885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※</w:t>
      </w:r>
      <w:r w:rsidRPr="00CF2527">
        <w:rPr>
          <w:rFonts w:hint="eastAsia"/>
          <w:color w:val="000000" w:themeColor="text1"/>
        </w:rPr>
        <w:t>デジタル訓練促進費のうち「デジタル資格取得コース」と「</w:t>
      </w:r>
      <w:r w:rsidRPr="00CF2527">
        <w:rPr>
          <w:color w:val="000000" w:themeColor="text1"/>
        </w:rPr>
        <w:t>DX推進スキル標準対応コース」の要件を併用したコースの設定も可能であるが、双方の要件によるデジタル訓練促進費の併給はできないものとし、これらを併用したコースの場合は、「デジタル資格取得コース」の要件によるデジタル訓練促進費が支給されない場合に限り、「</w:t>
      </w:r>
      <w:proofErr w:type="spellStart"/>
      <w:r w:rsidRPr="00CF2527">
        <w:rPr>
          <w:color w:val="000000" w:themeColor="text1"/>
        </w:rPr>
        <w:t>DX</w:t>
      </w:r>
      <w:proofErr w:type="spellEnd"/>
      <w:r w:rsidRPr="00CF2527">
        <w:rPr>
          <w:color w:val="000000" w:themeColor="text1"/>
        </w:rPr>
        <w:t>推進スキル標準対応コース」の要件によるデジタル訓練促進費を支給する。</w:t>
      </w:r>
    </w:p>
    <w:p w14:paraId="650F7701" w14:textId="77777777" w:rsidR="00C50A30" w:rsidRPr="0095626D" w:rsidRDefault="00C50A30" w:rsidP="00445C8A">
      <w:pPr>
        <w:spacing w:line="290" w:lineRule="exact"/>
        <w:ind w:left="885" w:hangingChars="400" w:hanging="885"/>
        <w:rPr>
          <w:color w:val="000000" w:themeColor="text1"/>
        </w:rPr>
      </w:pPr>
    </w:p>
    <w:p w14:paraId="1D5560E5" w14:textId="77777777" w:rsidR="00322758" w:rsidRPr="0095626D" w:rsidRDefault="0095626D" w:rsidP="00322758">
      <w:pPr>
        <w:spacing w:line="320" w:lineRule="exact"/>
        <w:ind w:left="885" w:hangingChars="400" w:hanging="885"/>
        <w:rPr>
          <w:color w:val="000000" w:themeColor="text1"/>
        </w:rPr>
      </w:pPr>
      <w:r w:rsidRPr="00C50A30">
        <w:rPr>
          <w:rFonts w:ascii="ＭＳ Ｐゴシック" w:eastAsia="ＭＳ Ｐゴシック" w:hAnsi="ＭＳ Ｐゴシック" w:hint="eastAsia"/>
          <w:color w:val="000000" w:themeColor="text1"/>
        </w:rPr>
        <w:t>３</w:t>
      </w:r>
      <w:r w:rsidR="00F00067" w:rsidRPr="00C50A30">
        <w:rPr>
          <w:rFonts w:ascii="ＭＳ Ｐゴシック" w:eastAsia="ＭＳ Ｐゴシック" w:hAnsi="ＭＳ Ｐゴシック" w:hint="eastAsia"/>
          <w:color w:val="000000" w:themeColor="text1"/>
        </w:rPr>
        <w:t xml:space="preserve">　各種コースにおける留意点</w:t>
      </w:r>
    </w:p>
    <w:p w14:paraId="6F72EA82" w14:textId="77777777" w:rsidR="001C3182" w:rsidRPr="0095626D" w:rsidRDefault="001C3182" w:rsidP="00C456BB">
      <w:pPr>
        <w:spacing w:line="320" w:lineRule="exact"/>
        <w:ind w:leftChars="-128" w:left="144" w:hangingChars="193" w:hanging="427"/>
        <w:rPr>
          <w:color w:val="000000" w:themeColor="text1"/>
        </w:rPr>
      </w:pPr>
      <w:r w:rsidRPr="0095626D">
        <w:rPr>
          <w:rFonts w:hint="eastAsia"/>
          <w:color w:val="000000" w:themeColor="text1"/>
        </w:rPr>
        <w:t xml:space="preserve">　　下記に該当する場合、</w:t>
      </w:r>
      <w:r w:rsidR="00C456BB">
        <w:rPr>
          <w:rFonts w:hint="eastAsia"/>
          <w:color w:val="000000" w:themeColor="text1"/>
        </w:rPr>
        <w:t>デジタル</w:t>
      </w:r>
      <w:r w:rsidR="0095626D" w:rsidRPr="0095626D">
        <w:rPr>
          <w:rFonts w:hint="eastAsia"/>
          <w:color w:val="000000" w:themeColor="text1"/>
        </w:rPr>
        <w:t>訓練促進費</w:t>
      </w:r>
      <w:r w:rsidR="00BF542D" w:rsidRPr="00BF542D">
        <w:rPr>
          <w:rFonts w:hint="eastAsia"/>
          <w:color w:val="000000" w:themeColor="text1"/>
        </w:rPr>
        <w:t>（ＤＸ推進スキル標準対応コース）</w:t>
      </w:r>
      <w:r w:rsidR="0095626D" w:rsidRPr="0095626D">
        <w:rPr>
          <w:rFonts w:hint="eastAsia"/>
          <w:color w:val="000000" w:themeColor="text1"/>
        </w:rPr>
        <w:t>（</w:t>
      </w:r>
      <w:r w:rsidR="00BF542D">
        <w:rPr>
          <w:rFonts w:hint="eastAsia"/>
          <w:color w:val="000000" w:themeColor="text1"/>
        </w:rPr>
        <w:t>5</w:t>
      </w:r>
      <w:r w:rsidR="0095626D" w:rsidRPr="0095626D">
        <w:rPr>
          <w:rFonts w:hint="eastAsia"/>
          <w:color w:val="000000" w:themeColor="text1"/>
        </w:rPr>
        <w:t>,000円）を訓練設定時間の割合で按分する。</w:t>
      </w:r>
    </w:p>
    <w:p w14:paraId="269B7BB5" w14:textId="77777777" w:rsidR="00322758" w:rsidRPr="0095626D" w:rsidRDefault="00F00067" w:rsidP="00C456BB">
      <w:pPr>
        <w:spacing w:line="290" w:lineRule="exact"/>
        <w:ind w:leftChars="-15" w:left="566" w:hangingChars="271" w:hanging="599"/>
        <w:rPr>
          <w:color w:val="000000" w:themeColor="text1"/>
        </w:rPr>
      </w:pPr>
      <w:r w:rsidRPr="0095626D">
        <w:rPr>
          <w:rFonts w:hint="eastAsia"/>
          <w:color w:val="000000" w:themeColor="text1"/>
        </w:rPr>
        <w:t xml:space="preserve">　</w:t>
      </w:r>
      <w:r w:rsidR="00C456BB">
        <w:rPr>
          <w:rFonts w:hint="eastAsia"/>
          <w:color w:val="000000" w:themeColor="text1"/>
        </w:rPr>
        <w:t>（１）</w:t>
      </w:r>
      <w:r w:rsidRPr="0095626D">
        <w:rPr>
          <w:rFonts w:hint="eastAsia"/>
          <w:color w:val="000000" w:themeColor="text1"/>
        </w:rPr>
        <w:t>知識等習得コースのうち、</w:t>
      </w:r>
      <w:r w:rsidR="00C50A30">
        <w:rPr>
          <w:rFonts w:hint="eastAsia"/>
          <w:color w:val="000000" w:themeColor="text1"/>
        </w:rPr>
        <w:t>１月当たりの訓練設定時間が100</w:t>
      </w:r>
      <w:r w:rsidR="001C3182" w:rsidRPr="0095626D">
        <w:rPr>
          <w:rFonts w:hint="eastAsia"/>
          <w:color w:val="000000" w:themeColor="text1"/>
        </w:rPr>
        <w:t>時間未満</w:t>
      </w:r>
      <w:r w:rsidR="00C50A30">
        <w:rPr>
          <w:rFonts w:hint="eastAsia"/>
          <w:color w:val="000000" w:themeColor="text1"/>
        </w:rPr>
        <w:t>のもの（祝日、お盆及び年末年始の休校日が該当することにより100</w:t>
      </w:r>
      <w:r w:rsidR="001C3182" w:rsidRPr="0095626D">
        <w:rPr>
          <w:rFonts w:hint="eastAsia"/>
          <w:color w:val="000000" w:themeColor="text1"/>
        </w:rPr>
        <w:t>時間未満となる場合を除く）。</w:t>
      </w:r>
    </w:p>
    <w:p w14:paraId="35E5999C" w14:textId="77777777" w:rsidR="001C3182" w:rsidRPr="0095626D" w:rsidRDefault="0095626D" w:rsidP="00C456BB">
      <w:pPr>
        <w:spacing w:line="290" w:lineRule="exact"/>
        <w:ind w:leftChars="-15" w:left="566" w:hangingChars="271" w:hanging="599"/>
        <w:rPr>
          <w:color w:val="000000" w:themeColor="text1"/>
        </w:rPr>
      </w:pPr>
      <w:r w:rsidRPr="0095626D">
        <w:rPr>
          <w:rFonts w:hint="eastAsia"/>
          <w:color w:val="000000" w:themeColor="text1"/>
        </w:rPr>
        <w:t xml:space="preserve">　</w:t>
      </w:r>
      <w:r w:rsidR="00C456BB">
        <w:rPr>
          <w:rFonts w:hint="eastAsia"/>
          <w:color w:val="000000" w:themeColor="text1"/>
        </w:rPr>
        <w:t>（２）</w:t>
      </w:r>
      <w:r w:rsidRPr="0095626D">
        <w:rPr>
          <w:rFonts w:hint="eastAsia"/>
          <w:color w:val="000000" w:themeColor="text1"/>
        </w:rPr>
        <w:t>育児等との両立</w:t>
      </w:r>
      <w:r w:rsidR="00C50A30">
        <w:rPr>
          <w:rFonts w:hint="eastAsia"/>
          <w:color w:val="000000" w:themeColor="text1"/>
        </w:rPr>
        <w:t>に配慮した再就職支援コースのうち、１月当たりの訓練設定時間が80</w:t>
      </w:r>
      <w:r w:rsidRPr="0095626D">
        <w:rPr>
          <w:rFonts w:hint="eastAsia"/>
          <w:color w:val="000000" w:themeColor="text1"/>
        </w:rPr>
        <w:t>時間未満のもの。</w:t>
      </w:r>
    </w:p>
    <w:p w14:paraId="4442BAC1" w14:textId="77777777" w:rsidR="00EE66E6" w:rsidRPr="00C50A30" w:rsidRDefault="0095626D" w:rsidP="00C50A30">
      <w:pPr>
        <w:spacing w:line="290" w:lineRule="exact"/>
        <w:ind w:left="566" w:hangingChars="256" w:hanging="566"/>
        <w:rPr>
          <w:color w:val="000000" w:themeColor="text1"/>
        </w:rPr>
      </w:pPr>
      <w:r w:rsidRPr="0095626D">
        <w:rPr>
          <w:rFonts w:hint="eastAsia"/>
          <w:color w:val="000000" w:themeColor="text1"/>
        </w:rPr>
        <w:t xml:space="preserve">　</w:t>
      </w:r>
      <w:r w:rsidR="00C456BB">
        <w:rPr>
          <w:rFonts w:hint="eastAsia"/>
          <w:color w:val="000000" w:themeColor="text1"/>
        </w:rPr>
        <w:t>（３）</w:t>
      </w:r>
      <w:r w:rsidRPr="0095626D">
        <w:rPr>
          <w:rFonts w:hint="eastAsia"/>
          <w:color w:val="000000" w:themeColor="text1"/>
        </w:rPr>
        <w:t>ｅラーニン</w:t>
      </w:r>
      <w:r w:rsidR="00C50A30">
        <w:rPr>
          <w:rFonts w:hint="eastAsia"/>
          <w:color w:val="000000" w:themeColor="text1"/>
        </w:rPr>
        <w:t>グコースとして実施する場合は１月当たりの訓練設定時間が54</w:t>
      </w:r>
      <w:r w:rsidRPr="0095626D">
        <w:rPr>
          <w:rFonts w:hint="eastAsia"/>
          <w:color w:val="000000" w:themeColor="text1"/>
        </w:rPr>
        <w:t>時間未満のもの。</w:t>
      </w:r>
    </w:p>
    <w:sectPr w:rsidR="00EE66E6" w:rsidRPr="00C50A30" w:rsidSect="00445C8A">
      <w:pgSz w:w="11906" w:h="16838" w:code="9"/>
      <w:pgMar w:top="1021" w:right="1418" w:bottom="851" w:left="1418" w:header="851" w:footer="992" w:gutter="0"/>
      <w:cols w:space="425"/>
      <w:docGrid w:type="linesAndChars" w:linePitch="328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4C837" w14:textId="77777777" w:rsidR="00880D0E" w:rsidRDefault="00880D0E" w:rsidP="00880D0E">
      <w:r>
        <w:separator/>
      </w:r>
    </w:p>
  </w:endnote>
  <w:endnote w:type="continuationSeparator" w:id="0">
    <w:p w14:paraId="4808F7AE" w14:textId="77777777" w:rsidR="00880D0E" w:rsidRDefault="00880D0E" w:rsidP="00880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46470" w14:textId="77777777" w:rsidR="00880D0E" w:rsidRDefault="00880D0E" w:rsidP="00880D0E">
      <w:r>
        <w:separator/>
      </w:r>
    </w:p>
  </w:footnote>
  <w:footnote w:type="continuationSeparator" w:id="0">
    <w:p w14:paraId="249490FF" w14:textId="77777777" w:rsidR="00880D0E" w:rsidRDefault="00880D0E" w:rsidP="00880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21"/>
  <w:drawingGridVerticalSpacing w:val="164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767"/>
    <w:rsid w:val="0000559E"/>
    <w:rsid w:val="00026145"/>
    <w:rsid w:val="00067C0D"/>
    <w:rsid w:val="000718DA"/>
    <w:rsid w:val="00074C38"/>
    <w:rsid w:val="000B7B36"/>
    <w:rsid w:val="000C04C6"/>
    <w:rsid w:val="000D0B2D"/>
    <w:rsid w:val="000E0E94"/>
    <w:rsid w:val="000E0F8A"/>
    <w:rsid w:val="00166DA5"/>
    <w:rsid w:val="00192D96"/>
    <w:rsid w:val="001C3182"/>
    <w:rsid w:val="00211699"/>
    <w:rsid w:val="002374B2"/>
    <w:rsid w:val="00257944"/>
    <w:rsid w:val="00270BAF"/>
    <w:rsid w:val="002B44FD"/>
    <w:rsid w:val="002C6D37"/>
    <w:rsid w:val="00322758"/>
    <w:rsid w:val="00334BF8"/>
    <w:rsid w:val="0036341D"/>
    <w:rsid w:val="003B1B21"/>
    <w:rsid w:val="003E4F48"/>
    <w:rsid w:val="0040468E"/>
    <w:rsid w:val="00420CD7"/>
    <w:rsid w:val="00445C8A"/>
    <w:rsid w:val="00480437"/>
    <w:rsid w:val="004A4290"/>
    <w:rsid w:val="004A7A8E"/>
    <w:rsid w:val="005312F2"/>
    <w:rsid w:val="0053261E"/>
    <w:rsid w:val="00565A49"/>
    <w:rsid w:val="00590598"/>
    <w:rsid w:val="005D1647"/>
    <w:rsid w:val="00641061"/>
    <w:rsid w:val="00647232"/>
    <w:rsid w:val="00654F14"/>
    <w:rsid w:val="00667BF4"/>
    <w:rsid w:val="00697767"/>
    <w:rsid w:val="006C0900"/>
    <w:rsid w:val="006D5F16"/>
    <w:rsid w:val="006E5C48"/>
    <w:rsid w:val="006F410F"/>
    <w:rsid w:val="00705593"/>
    <w:rsid w:val="007352DD"/>
    <w:rsid w:val="00737160"/>
    <w:rsid w:val="00744368"/>
    <w:rsid w:val="007506F2"/>
    <w:rsid w:val="00750FCA"/>
    <w:rsid w:val="007757A2"/>
    <w:rsid w:val="00782F38"/>
    <w:rsid w:val="00797DB4"/>
    <w:rsid w:val="007F5D75"/>
    <w:rsid w:val="00880D0E"/>
    <w:rsid w:val="00891604"/>
    <w:rsid w:val="008B7A2B"/>
    <w:rsid w:val="008D51E8"/>
    <w:rsid w:val="008E1CDA"/>
    <w:rsid w:val="0095626D"/>
    <w:rsid w:val="009D55DE"/>
    <w:rsid w:val="009E5655"/>
    <w:rsid w:val="00A169A5"/>
    <w:rsid w:val="00A30CEA"/>
    <w:rsid w:val="00A50C6A"/>
    <w:rsid w:val="00A57BA4"/>
    <w:rsid w:val="00A85D1E"/>
    <w:rsid w:val="00AB1729"/>
    <w:rsid w:val="00AC116C"/>
    <w:rsid w:val="00B22465"/>
    <w:rsid w:val="00B34000"/>
    <w:rsid w:val="00B722F8"/>
    <w:rsid w:val="00B77EA5"/>
    <w:rsid w:val="00BA274F"/>
    <w:rsid w:val="00BA7750"/>
    <w:rsid w:val="00BF542D"/>
    <w:rsid w:val="00C00462"/>
    <w:rsid w:val="00C00564"/>
    <w:rsid w:val="00C165A3"/>
    <w:rsid w:val="00C23DA5"/>
    <w:rsid w:val="00C26B4A"/>
    <w:rsid w:val="00C456BB"/>
    <w:rsid w:val="00C50A30"/>
    <w:rsid w:val="00C66B00"/>
    <w:rsid w:val="00CF2527"/>
    <w:rsid w:val="00D26FA7"/>
    <w:rsid w:val="00D5232A"/>
    <w:rsid w:val="00D7458C"/>
    <w:rsid w:val="00DB53AD"/>
    <w:rsid w:val="00DB6CE3"/>
    <w:rsid w:val="00DE4D59"/>
    <w:rsid w:val="00DF4C8E"/>
    <w:rsid w:val="00E366E6"/>
    <w:rsid w:val="00E65F75"/>
    <w:rsid w:val="00E854A7"/>
    <w:rsid w:val="00E942DD"/>
    <w:rsid w:val="00EB00AC"/>
    <w:rsid w:val="00EB61A5"/>
    <w:rsid w:val="00EE66E6"/>
    <w:rsid w:val="00F00067"/>
    <w:rsid w:val="00F45C5C"/>
    <w:rsid w:val="00F535B4"/>
    <w:rsid w:val="00F85C26"/>
    <w:rsid w:val="00FA7A1A"/>
    <w:rsid w:val="00FC01A2"/>
    <w:rsid w:val="00FD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AC16C33"/>
  <w15:chartTrackingRefBased/>
  <w15:docId w15:val="{28CC901A-44E2-4973-8490-E0318CB4C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0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97767"/>
  </w:style>
  <w:style w:type="character" w:customStyle="1" w:styleId="a4">
    <w:name w:val="日付 (文字)"/>
    <w:basedOn w:val="a0"/>
    <w:link w:val="a3"/>
    <w:uiPriority w:val="99"/>
    <w:semiHidden/>
    <w:rsid w:val="00697767"/>
  </w:style>
  <w:style w:type="table" w:styleId="a5">
    <w:name w:val="Table Grid"/>
    <w:basedOn w:val="a1"/>
    <w:uiPriority w:val="39"/>
    <w:rsid w:val="00697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(文字) (文字) Char (文字) (文字) Char (文字) (文字) Char (文字) (文字)"/>
    <w:basedOn w:val="a"/>
    <w:rsid w:val="00E65F75"/>
    <w:pPr>
      <w:widowControl/>
      <w:spacing w:after="160" w:line="240" w:lineRule="exact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B1B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B1B21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80D0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80D0E"/>
  </w:style>
  <w:style w:type="paragraph" w:styleId="aa">
    <w:name w:val="footer"/>
    <w:basedOn w:val="a"/>
    <w:link w:val="ab"/>
    <w:uiPriority w:val="99"/>
    <w:unhideWhenUsed/>
    <w:rsid w:val="00880D0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80D0E"/>
  </w:style>
  <w:style w:type="paragraph" w:customStyle="1" w:styleId="CharCharChar0">
    <w:name w:val="(文字) (文字) Char (文字) (文字) Char (文字) (文字) Char (文字) (文字)"/>
    <w:basedOn w:val="a"/>
    <w:rsid w:val="00782F38"/>
    <w:pPr>
      <w:widowControl/>
      <w:spacing w:after="160" w:line="240" w:lineRule="exact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松下</dc:creator>
  <cp:keywords/>
  <dc:description/>
  <cp:lastModifiedBy>仁井　重雄</cp:lastModifiedBy>
  <cp:revision>67</cp:revision>
  <cp:lastPrinted>2024-11-27T04:23:00Z</cp:lastPrinted>
  <dcterms:created xsi:type="dcterms:W3CDTF">2021-04-02T01:31:00Z</dcterms:created>
  <dcterms:modified xsi:type="dcterms:W3CDTF">2024-11-27T04:23:00Z</dcterms:modified>
</cp:coreProperties>
</file>